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C7" w:rsidRDefault="00E63938" w:rsidP="005136BF">
      <w:pPr>
        <w:pStyle w:val="Default"/>
        <w:ind w:left="2124" w:firstLine="708"/>
      </w:pPr>
      <w:r>
        <w:t xml:space="preserve">Организация </w:t>
      </w:r>
      <w:r w:rsidR="005136BF" w:rsidRPr="005136BF">
        <w:t>ЮНЕСКО</w:t>
      </w:r>
      <w:r w:rsidR="005136BF">
        <w:t xml:space="preserve"> </w:t>
      </w:r>
      <w:r>
        <w:t xml:space="preserve">по </w:t>
      </w:r>
      <w:r w:rsidR="005136BF">
        <w:t>р</w:t>
      </w:r>
      <w:r>
        <w:t xml:space="preserve">азвитию </w:t>
      </w:r>
      <w:r w:rsidR="005136BF">
        <w:t>о</w:t>
      </w:r>
      <w:r>
        <w:t>бразования</w:t>
      </w:r>
    </w:p>
    <w:p w:rsidR="00E63938" w:rsidRPr="00BD60AA" w:rsidRDefault="00E63938" w:rsidP="005136BF">
      <w:pPr>
        <w:pStyle w:val="Default"/>
        <w:ind w:left="2832"/>
      </w:pPr>
      <w:r>
        <w:t xml:space="preserve">Азиатско-Тихоокеанское региональное бюро </w:t>
      </w:r>
      <w:r w:rsidR="005136BF" w:rsidRPr="00BD60AA">
        <w:t xml:space="preserve">UNESCO </w:t>
      </w:r>
      <w:r>
        <w:t xml:space="preserve">по </w:t>
      </w:r>
      <w:r w:rsidR="005136BF">
        <w:t>вопросам образования</w:t>
      </w:r>
      <w:r>
        <w:t xml:space="preserve"> </w:t>
      </w:r>
      <w:r w:rsidR="005136BF" w:rsidRPr="005136BF">
        <w:t>(г.</w:t>
      </w:r>
      <w:r w:rsidR="0013720D">
        <w:t xml:space="preserve"> </w:t>
      </w:r>
      <w:r w:rsidR="005136BF" w:rsidRPr="005136BF">
        <w:t>Бангкок, Таиланд)</w:t>
      </w:r>
    </w:p>
    <w:p w:rsidR="00E63938" w:rsidRPr="005136BF" w:rsidRDefault="005136BF" w:rsidP="005136BF">
      <w:pPr>
        <w:pStyle w:val="Default"/>
        <w:ind w:left="2832"/>
      </w:pPr>
      <w:r w:rsidRPr="005136BF">
        <w:t>Подразделение по вопросам высшего образования ЮНЕСКО в Париже</w:t>
      </w:r>
    </w:p>
    <w:p w:rsidR="005136BF" w:rsidRPr="005136BF" w:rsidRDefault="005136BF" w:rsidP="005136BF">
      <w:pPr>
        <w:pStyle w:val="Default"/>
        <w:ind w:left="2124" w:firstLine="708"/>
      </w:pPr>
      <w:r w:rsidRPr="005136BF">
        <w:t>Китайск</w:t>
      </w:r>
      <w:r>
        <w:t>ая национальная комиссия</w:t>
      </w:r>
      <w:r w:rsidRPr="005136BF">
        <w:t xml:space="preserve"> по делам ЮНЕСКО</w:t>
      </w:r>
    </w:p>
    <w:p w:rsidR="005136BF" w:rsidRDefault="005136BF" w:rsidP="005136BF">
      <w:pPr>
        <w:pStyle w:val="Default"/>
        <w:ind w:left="2832"/>
      </w:pPr>
      <w:r>
        <w:t>Международный центр</w:t>
      </w:r>
      <w:r w:rsidRPr="005136BF">
        <w:t xml:space="preserve"> инноваций ЮНЕСКО в сфере высшего образования (ЮНЕСКО-ICHEI) в </w:t>
      </w:r>
      <w:r w:rsidR="0013720D">
        <w:t xml:space="preserve">г. </w:t>
      </w:r>
      <w:bookmarkStart w:id="0" w:name="_GoBack"/>
      <w:bookmarkEnd w:id="0"/>
      <w:proofErr w:type="spellStart"/>
      <w:r w:rsidRPr="005136BF">
        <w:t>Шэньчжэнь</w:t>
      </w:r>
      <w:proofErr w:type="spellEnd"/>
      <w:r w:rsidRPr="005136BF">
        <w:t>, КНР</w:t>
      </w:r>
    </w:p>
    <w:p w:rsidR="005136BF" w:rsidRDefault="005136BF" w:rsidP="00E63938">
      <w:pPr>
        <w:pStyle w:val="Default"/>
      </w:pPr>
    </w:p>
    <w:p w:rsidR="005136BF" w:rsidRDefault="005136BF" w:rsidP="00E63938">
      <w:pPr>
        <w:pStyle w:val="Default"/>
      </w:pPr>
    </w:p>
    <w:p w:rsidR="005136BF" w:rsidRDefault="005136BF" w:rsidP="00E63938">
      <w:pPr>
        <w:pStyle w:val="Default"/>
      </w:pPr>
    </w:p>
    <w:p w:rsidR="005136BF" w:rsidRPr="005136BF" w:rsidRDefault="005136BF" w:rsidP="00E63938">
      <w:pPr>
        <w:pStyle w:val="Default"/>
      </w:pPr>
    </w:p>
    <w:p w:rsidR="00B625C7" w:rsidRDefault="00B625C7" w:rsidP="00B625C7">
      <w:pPr>
        <w:rPr>
          <w:rFonts w:ascii="MS Gothic" w:eastAsia="Malgun Gothic" w:hAnsi="MS Gothic" w:cs="MS Gothic"/>
          <w:color w:val="000000"/>
          <w:sz w:val="48"/>
          <w:szCs w:val="48"/>
        </w:rPr>
      </w:pPr>
      <w:r w:rsidRPr="00B625C7">
        <w:rPr>
          <w:rFonts w:ascii="Malgun Gothic" w:eastAsia="Malgun Gothic" w:cs="Malgun Gothic"/>
          <w:color w:val="000000"/>
          <w:sz w:val="24"/>
          <w:szCs w:val="24"/>
        </w:rPr>
        <w:t xml:space="preserve"> </w:t>
      </w:r>
      <w:proofErr w:type="spellStart"/>
      <w:r w:rsidRPr="00B625C7">
        <w:rPr>
          <w:rFonts w:ascii="MS Gothic" w:eastAsia="Malgun Gothic" w:hAnsi="MS Gothic" w:cs="MS Gothic"/>
          <w:color w:val="000000"/>
          <w:sz w:val="48"/>
          <w:szCs w:val="48"/>
        </w:rPr>
        <w:t>大學之道</w:t>
      </w:r>
      <w:r w:rsidRPr="00B625C7">
        <w:rPr>
          <w:rFonts w:ascii="Malgun Gothic" w:eastAsia="Malgun Gothic" w:hAnsi="Malgun Gothic" w:cs="Malgun Gothic"/>
          <w:color w:val="000000"/>
          <w:sz w:val="48"/>
          <w:szCs w:val="48"/>
        </w:rPr>
        <w:t>，</w:t>
      </w:r>
      <w:r w:rsidRPr="00B625C7">
        <w:rPr>
          <w:rFonts w:ascii="MS Gothic" w:eastAsia="Malgun Gothic" w:hAnsi="MS Gothic" w:cs="MS Gothic"/>
          <w:color w:val="000000"/>
          <w:sz w:val="48"/>
          <w:szCs w:val="48"/>
        </w:rPr>
        <w:t>在明明德</w:t>
      </w:r>
      <w:r w:rsidRPr="00B625C7">
        <w:rPr>
          <w:rFonts w:ascii="Malgun Gothic" w:eastAsia="Malgun Gothic" w:hAnsi="Malgun Gothic" w:cs="Malgun Gothic"/>
          <w:color w:val="000000"/>
          <w:sz w:val="48"/>
          <w:szCs w:val="48"/>
        </w:rPr>
        <w:t>，</w:t>
      </w:r>
      <w:r w:rsidRPr="00B625C7">
        <w:rPr>
          <w:rFonts w:ascii="MS Gothic" w:eastAsia="Malgun Gothic" w:hAnsi="MS Gothic" w:cs="MS Gothic"/>
          <w:color w:val="000000"/>
          <w:sz w:val="48"/>
          <w:szCs w:val="48"/>
        </w:rPr>
        <w:t>在親民</w:t>
      </w:r>
      <w:r w:rsidRPr="00B625C7">
        <w:rPr>
          <w:rFonts w:ascii="Malgun Gothic" w:eastAsia="Malgun Gothic" w:hAnsi="Malgun Gothic" w:cs="Malgun Gothic"/>
          <w:color w:val="000000"/>
          <w:sz w:val="48"/>
          <w:szCs w:val="48"/>
        </w:rPr>
        <w:t>，</w:t>
      </w:r>
      <w:r w:rsidRPr="00B625C7">
        <w:rPr>
          <w:rFonts w:ascii="MS Gothic" w:eastAsia="Malgun Gothic" w:hAnsi="MS Gothic" w:cs="MS Gothic"/>
          <w:color w:val="000000"/>
          <w:sz w:val="48"/>
          <w:szCs w:val="48"/>
        </w:rPr>
        <w:t>在止於至善</w:t>
      </w:r>
      <w:proofErr w:type="spellEnd"/>
    </w:p>
    <w:p w:rsidR="00B625C7" w:rsidRDefault="0080765C" w:rsidP="00B625C7">
      <w:r>
        <w:t>«</w:t>
      </w:r>
      <w:r w:rsidR="00DE6E5F">
        <w:t>Путь</w:t>
      </w:r>
      <w:r>
        <w:t xml:space="preserve"> </w:t>
      </w:r>
      <w:r w:rsidRPr="00BF3F1C">
        <w:rPr>
          <w:i/>
        </w:rPr>
        <w:t>В</w:t>
      </w:r>
      <w:r w:rsidR="00B625C7" w:rsidRPr="00BF3F1C">
        <w:rPr>
          <w:i/>
        </w:rPr>
        <w:t>еликого обучения</w:t>
      </w:r>
      <w:r w:rsidR="00B625C7">
        <w:t xml:space="preserve"> состоит в проявлении яркой добродетели, любви к людям, в совершенно</w:t>
      </w:r>
      <w:r w:rsidR="00483269">
        <w:t>м</w:t>
      </w:r>
      <w:r w:rsidR="00B625C7">
        <w:t xml:space="preserve"> </w:t>
      </w:r>
      <w:r w:rsidR="00BF3F1C">
        <w:t>великодуши</w:t>
      </w:r>
      <w:r w:rsidR="00483269">
        <w:t>и</w:t>
      </w:r>
      <w:r w:rsidR="00B625C7">
        <w:t>.</w:t>
      </w:r>
    </w:p>
    <w:p w:rsidR="00B625C7" w:rsidRDefault="00B625C7" w:rsidP="00B625C7">
      <w:r>
        <w:t xml:space="preserve">Путь предельной мудрости - это понимание абсолютной целостности, </w:t>
      </w:r>
      <w:r w:rsidR="00DE6E5F">
        <w:t>добропорядочности</w:t>
      </w:r>
      <w:r>
        <w:t xml:space="preserve"> простых людей и бесконечного стремления к совершенствованию гуманитарных наук.</w:t>
      </w:r>
    </w:p>
    <w:p w:rsidR="0080765C" w:rsidRDefault="0080765C" w:rsidP="0080765C">
      <w:pPr>
        <w:jc w:val="right"/>
        <w:rPr>
          <w:i/>
          <w:iCs/>
        </w:rPr>
      </w:pPr>
      <w:proofErr w:type="spellStart"/>
      <w:r w:rsidRPr="0080765C">
        <w:rPr>
          <w:i/>
          <w:iCs/>
          <w:lang w:val="en-US"/>
        </w:rPr>
        <w:t>Daxue</w:t>
      </w:r>
      <w:proofErr w:type="spellEnd"/>
      <w:r w:rsidRPr="0080765C">
        <w:rPr>
          <w:i/>
          <w:iCs/>
        </w:rPr>
        <w:t xml:space="preserve"> (</w:t>
      </w:r>
      <w:r w:rsidRPr="00BF3F1C">
        <w:rPr>
          <w:i/>
          <w:iCs/>
        </w:rPr>
        <w:t>В</w:t>
      </w:r>
      <w:r w:rsidRPr="00BF3F1C">
        <w:rPr>
          <w:i/>
        </w:rPr>
        <w:t>еликое обучение</w:t>
      </w:r>
      <w:r w:rsidRPr="0080765C">
        <w:rPr>
          <w:i/>
          <w:iCs/>
        </w:rPr>
        <w:t xml:space="preserve">), </w:t>
      </w:r>
      <w:proofErr w:type="gramStart"/>
      <w:r w:rsidRPr="0080765C">
        <w:rPr>
          <w:i/>
          <w:iCs/>
        </w:rPr>
        <w:t>500</w:t>
      </w:r>
      <w:r>
        <w:rPr>
          <w:i/>
          <w:iCs/>
        </w:rPr>
        <w:t xml:space="preserve"> г</w:t>
      </w:r>
      <w:proofErr w:type="gramEnd"/>
      <w:r>
        <w:rPr>
          <w:i/>
          <w:iCs/>
        </w:rPr>
        <w:t>.</w:t>
      </w:r>
      <w:r w:rsidRPr="0080765C">
        <w:rPr>
          <w:i/>
          <w:iCs/>
        </w:rPr>
        <w:t xml:space="preserve"> </w:t>
      </w:r>
      <w:r>
        <w:rPr>
          <w:i/>
          <w:iCs/>
        </w:rPr>
        <w:t>до н.э.</w:t>
      </w:r>
    </w:p>
    <w:p w:rsidR="00E63938" w:rsidRDefault="00E63938" w:rsidP="0080765C">
      <w:pPr>
        <w:jc w:val="right"/>
        <w:rPr>
          <w:i/>
          <w:iCs/>
        </w:rPr>
      </w:pPr>
    </w:p>
    <w:p w:rsidR="00E63938" w:rsidRDefault="00E63938" w:rsidP="0080765C">
      <w:pPr>
        <w:jc w:val="right"/>
        <w:rPr>
          <w:i/>
          <w:iCs/>
        </w:rPr>
      </w:pPr>
    </w:p>
    <w:p w:rsidR="00E63938" w:rsidRDefault="00DF6E1D" w:rsidP="00E63938">
      <w:pPr>
        <w:jc w:val="center"/>
      </w:pPr>
      <w:r w:rsidRPr="00DF6E1D">
        <w:t>Положение</w:t>
      </w:r>
      <w:r w:rsidR="00E63938" w:rsidRPr="00DF6E1D">
        <w:t xml:space="preserve"> </w:t>
      </w:r>
      <w:r w:rsidR="00E63938">
        <w:t>разработано</w:t>
      </w:r>
      <w:r w:rsidR="00E63938" w:rsidRPr="00B625C7">
        <w:t xml:space="preserve"> </w:t>
      </w:r>
      <w:r w:rsidR="00E63938">
        <w:t>и</w:t>
      </w:r>
      <w:r w:rsidR="00E63938" w:rsidRPr="00B625C7">
        <w:t xml:space="preserve"> </w:t>
      </w:r>
      <w:r w:rsidR="00E63938">
        <w:t>обсуждалось</w:t>
      </w:r>
      <w:r w:rsidR="00E63938" w:rsidRPr="00B625C7">
        <w:t xml:space="preserve"> </w:t>
      </w:r>
      <w:r w:rsidR="00E63938">
        <w:t>в</w:t>
      </w:r>
      <w:r w:rsidR="00E63938" w:rsidRPr="00B625C7">
        <w:t xml:space="preserve"> </w:t>
      </w:r>
      <w:r w:rsidR="00E63938">
        <w:t>г</w:t>
      </w:r>
      <w:r w:rsidR="00E63938" w:rsidRPr="00B625C7">
        <w:t xml:space="preserve">. </w:t>
      </w:r>
      <w:proofErr w:type="spellStart"/>
      <w:r w:rsidR="00E63938">
        <w:t>Шэньчжень</w:t>
      </w:r>
      <w:proofErr w:type="spellEnd"/>
      <w:r w:rsidR="00E63938">
        <w:t>, КНР 15-16 июня 2017г.</w:t>
      </w:r>
    </w:p>
    <w:p w:rsidR="0080765C" w:rsidRDefault="0080765C" w:rsidP="0080765C">
      <w:pPr>
        <w:jc w:val="right"/>
        <w:rPr>
          <w:i/>
          <w:iCs/>
        </w:rPr>
      </w:pPr>
    </w:p>
    <w:p w:rsidR="0080765C" w:rsidRPr="00E63938" w:rsidRDefault="0080765C" w:rsidP="0080765C">
      <w:pPr>
        <w:jc w:val="center"/>
        <w:rPr>
          <w:b/>
        </w:rPr>
      </w:pPr>
      <w:r w:rsidRPr="00E63938">
        <w:rPr>
          <w:b/>
        </w:rPr>
        <w:t>ШЕН</w:t>
      </w:r>
      <w:r w:rsidR="0013720D">
        <w:rPr>
          <w:b/>
        </w:rPr>
        <w:t>ЬЧ</w:t>
      </w:r>
      <w:r w:rsidRPr="00E63938">
        <w:rPr>
          <w:b/>
        </w:rPr>
        <w:t xml:space="preserve">ЖЕНСКОЕ </w:t>
      </w:r>
      <w:r w:rsidR="00DF6E1D" w:rsidRPr="00DF6E1D">
        <w:rPr>
          <w:b/>
        </w:rPr>
        <w:t>ПОЛОЖЕНИЕ</w:t>
      </w:r>
    </w:p>
    <w:p w:rsidR="0080765C" w:rsidRPr="00E63938" w:rsidRDefault="0080765C" w:rsidP="0080765C">
      <w:pPr>
        <w:jc w:val="center"/>
        <w:rPr>
          <w:b/>
        </w:rPr>
      </w:pPr>
      <w:r w:rsidRPr="00E63938">
        <w:rPr>
          <w:b/>
        </w:rPr>
        <w:t>Создание регионального и локального потенциала для культуры качества в</w:t>
      </w:r>
    </w:p>
    <w:p w:rsidR="0080765C" w:rsidRDefault="00483269" w:rsidP="0080765C">
      <w:pPr>
        <w:jc w:val="center"/>
      </w:pPr>
      <w:r w:rsidRPr="00E63938">
        <w:rPr>
          <w:b/>
        </w:rPr>
        <w:t>с</w:t>
      </w:r>
      <w:r w:rsidR="0080765C" w:rsidRPr="00E63938">
        <w:rPr>
          <w:b/>
        </w:rPr>
        <w:t>истем</w:t>
      </w:r>
      <w:r w:rsidRPr="00E63938">
        <w:rPr>
          <w:b/>
        </w:rPr>
        <w:t>е</w:t>
      </w:r>
      <w:r w:rsidR="0080765C" w:rsidRPr="00E63938">
        <w:rPr>
          <w:b/>
        </w:rPr>
        <w:t xml:space="preserve"> высшего образования Азиатско-Тихоокеанского региона</w:t>
      </w:r>
    </w:p>
    <w:p w:rsidR="0080765C" w:rsidRDefault="0080765C" w:rsidP="0080765C">
      <w:pPr>
        <w:jc w:val="center"/>
      </w:pPr>
      <w:r>
        <w:t xml:space="preserve">15-16 июня 2017г., </w:t>
      </w:r>
      <w:proofErr w:type="spellStart"/>
      <w:r>
        <w:t>Шен</w:t>
      </w:r>
      <w:r w:rsidR="0013720D">
        <w:t>ьч</w:t>
      </w:r>
      <w:r>
        <w:t>жень</w:t>
      </w:r>
      <w:proofErr w:type="spellEnd"/>
      <w:r>
        <w:t xml:space="preserve">, Китайская Народная Республика </w:t>
      </w:r>
    </w:p>
    <w:p w:rsidR="0080765C" w:rsidRDefault="0080765C" w:rsidP="0080765C">
      <w:pPr>
        <w:jc w:val="center"/>
      </w:pPr>
    </w:p>
    <w:p w:rsidR="0080765C" w:rsidRDefault="0080765C" w:rsidP="0080765C">
      <w:pPr>
        <w:jc w:val="both"/>
      </w:pPr>
      <w:r w:rsidRPr="0080765C">
        <w:t xml:space="preserve">Обеспечение доступа к справедливому качественному высшему образованию является неотъемлемой частью </w:t>
      </w:r>
      <w:r w:rsidR="00304039" w:rsidRPr="00304039">
        <w:rPr>
          <w:i/>
        </w:rPr>
        <w:t>Целей у</w:t>
      </w:r>
      <w:r w:rsidRPr="00304039">
        <w:rPr>
          <w:i/>
        </w:rPr>
        <w:t>стойчивого развития</w:t>
      </w:r>
      <w:r w:rsidR="00304039">
        <w:rPr>
          <w:i/>
        </w:rPr>
        <w:t xml:space="preserve"> (</w:t>
      </w:r>
      <w:r w:rsidR="00483269">
        <w:rPr>
          <w:i/>
        </w:rPr>
        <w:t>ЦУР</w:t>
      </w:r>
      <w:r w:rsidR="00304039">
        <w:rPr>
          <w:i/>
        </w:rPr>
        <w:t>)</w:t>
      </w:r>
      <w:r w:rsidRPr="0080765C">
        <w:t xml:space="preserve">, </w:t>
      </w:r>
      <w:r w:rsidR="00304039">
        <w:t xml:space="preserve">включая </w:t>
      </w:r>
      <w:r w:rsidR="00483269">
        <w:rPr>
          <w:i/>
        </w:rPr>
        <w:t>ЦУР</w:t>
      </w:r>
      <w:r w:rsidRPr="00304039">
        <w:rPr>
          <w:i/>
        </w:rPr>
        <w:t>4</w:t>
      </w:r>
      <w:r w:rsidRPr="0080765C">
        <w:t xml:space="preserve"> и </w:t>
      </w:r>
      <w:r w:rsidR="00304039" w:rsidRPr="00304039">
        <w:rPr>
          <w:i/>
        </w:rPr>
        <w:t>П</w:t>
      </w:r>
      <w:r w:rsidRPr="00304039">
        <w:rPr>
          <w:i/>
        </w:rPr>
        <w:t xml:space="preserve">рограммы </w:t>
      </w:r>
      <w:r w:rsidR="00304039" w:rsidRPr="00304039">
        <w:rPr>
          <w:i/>
        </w:rPr>
        <w:t xml:space="preserve">развития </w:t>
      </w:r>
      <w:r w:rsidRPr="00304039">
        <w:rPr>
          <w:i/>
        </w:rPr>
        <w:t xml:space="preserve">образования </w:t>
      </w:r>
      <w:r w:rsidR="00304039" w:rsidRPr="00304039">
        <w:rPr>
          <w:i/>
        </w:rPr>
        <w:t xml:space="preserve">до </w:t>
      </w:r>
      <w:r w:rsidRPr="00304039">
        <w:rPr>
          <w:i/>
        </w:rPr>
        <w:t>2030 года</w:t>
      </w:r>
      <w:r w:rsidRPr="0080765C">
        <w:t xml:space="preserve">. Однако </w:t>
      </w:r>
      <w:r w:rsidR="007A1B7A">
        <w:t xml:space="preserve">в настоящее время </w:t>
      </w:r>
      <w:r w:rsidRPr="0080765C">
        <w:t>сопоставимость</w:t>
      </w:r>
      <w:r w:rsidR="00E63938">
        <w:t xml:space="preserve"> результатов обучения</w:t>
      </w:r>
      <w:r w:rsidRPr="0080765C">
        <w:t xml:space="preserve">, признание и </w:t>
      </w:r>
      <w:r w:rsidR="00304039">
        <w:t>гарантия</w:t>
      </w:r>
      <w:r w:rsidRPr="0080765C">
        <w:t xml:space="preserve"> качества квалифика</w:t>
      </w:r>
      <w:r w:rsidR="00DE6E5F">
        <w:t>ций остаются ключевой проблемой</w:t>
      </w:r>
      <w:r w:rsidRPr="0080765C">
        <w:t xml:space="preserve"> особенно </w:t>
      </w:r>
      <w:r w:rsidR="00E63938">
        <w:t>для</w:t>
      </w:r>
      <w:r w:rsidRPr="0080765C">
        <w:t xml:space="preserve"> Азиатско-Тихооке</w:t>
      </w:r>
      <w:r w:rsidR="00E63938">
        <w:t>анского региона</w:t>
      </w:r>
      <w:r w:rsidR="00304039">
        <w:t xml:space="preserve">, где присваиваемые квалификации зачастую по-прежнему не связаны с </w:t>
      </w:r>
      <w:r w:rsidRPr="0080765C">
        <w:t>результат</w:t>
      </w:r>
      <w:r w:rsidR="00304039">
        <w:t>ами</w:t>
      </w:r>
      <w:r w:rsidRPr="0080765C">
        <w:t xml:space="preserve"> обучения. У</w:t>
      </w:r>
      <w:r w:rsidR="007A1B7A">
        <w:t xml:space="preserve">величение </w:t>
      </w:r>
      <w:r w:rsidRPr="0080765C">
        <w:t xml:space="preserve">инвестиций в </w:t>
      </w:r>
      <w:r w:rsidR="00304039">
        <w:t>гарантию</w:t>
      </w:r>
      <w:r w:rsidRPr="0080765C">
        <w:t xml:space="preserve"> качества систем непрерывного обучения </w:t>
      </w:r>
      <w:r w:rsidR="00304039">
        <w:t>с целью</w:t>
      </w:r>
      <w:r w:rsidRPr="0080765C">
        <w:t xml:space="preserve"> </w:t>
      </w:r>
      <w:r w:rsidR="00304039">
        <w:t>построения</w:t>
      </w:r>
      <w:r w:rsidRPr="0080765C">
        <w:t xml:space="preserve"> культуры </w:t>
      </w:r>
      <w:r w:rsidR="00304039" w:rsidRPr="0080765C">
        <w:t>качеств</w:t>
      </w:r>
      <w:r w:rsidR="00304039">
        <w:t xml:space="preserve">а </w:t>
      </w:r>
      <w:r w:rsidRPr="0080765C">
        <w:t>имеет важное значение для актуал</w:t>
      </w:r>
      <w:r w:rsidR="007A1B7A">
        <w:t xml:space="preserve">изации </w:t>
      </w:r>
      <w:r w:rsidRPr="0080765C">
        <w:t>и сопоставимости образовательных квалификаций высшего образования во всем регионе.</w:t>
      </w:r>
    </w:p>
    <w:p w:rsidR="00304039" w:rsidRDefault="00304039" w:rsidP="0080765C">
      <w:pPr>
        <w:jc w:val="both"/>
      </w:pPr>
      <w:r w:rsidRPr="00304039">
        <w:t xml:space="preserve">Азиатско-Тихоокеанский регион является </w:t>
      </w:r>
      <w:r>
        <w:t>наиболее</w:t>
      </w:r>
      <w:r w:rsidRPr="00304039">
        <w:t xml:space="preserve"> быстрорастущим регионом </w:t>
      </w:r>
      <w:r w:rsidR="00DE6E5F">
        <w:t>по количеству</w:t>
      </w:r>
      <w:r w:rsidRPr="00304039">
        <w:t xml:space="preserve"> </w:t>
      </w:r>
      <w:r w:rsidR="002E23CC">
        <w:t>прибывающих</w:t>
      </w:r>
      <w:r w:rsidRPr="00304039">
        <w:t xml:space="preserve"> и </w:t>
      </w:r>
      <w:r w:rsidR="002E23CC">
        <w:t xml:space="preserve">выезжающих </w:t>
      </w:r>
      <w:r w:rsidRPr="00304039">
        <w:t xml:space="preserve">иностранных студентов, что </w:t>
      </w:r>
      <w:r w:rsidR="007A1B7A">
        <w:t>вызывает</w:t>
      </w:r>
      <w:r w:rsidRPr="00304039">
        <w:t xml:space="preserve"> </w:t>
      </w:r>
      <w:r w:rsidR="0030059F">
        <w:t xml:space="preserve">необходимость упрощения </w:t>
      </w:r>
      <w:r w:rsidR="008F5A57">
        <w:t xml:space="preserve">системы </w:t>
      </w:r>
      <w:r w:rsidRPr="00304039">
        <w:t xml:space="preserve">трансграничной мобильности учащихся и согласования </w:t>
      </w:r>
      <w:r w:rsidR="008F5A57" w:rsidRPr="00304039">
        <w:t xml:space="preserve">парадигм </w:t>
      </w:r>
      <w:r w:rsidRPr="00304039">
        <w:t>качеств</w:t>
      </w:r>
      <w:r w:rsidR="008F5A57">
        <w:t>а</w:t>
      </w:r>
      <w:r w:rsidRPr="00304039">
        <w:t xml:space="preserve">, основанных на общих академических инфраструктурах. Таким образом, </w:t>
      </w:r>
      <w:r w:rsidR="008F5A57">
        <w:t>беспристрастные</w:t>
      </w:r>
      <w:r w:rsidRPr="00304039">
        <w:t xml:space="preserve"> и прозрачные </w:t>
      </w:r>
      <w:r w:rsidRPr="00304039">
        <w:lastRenderedPageBreak/>
        <w:t xml:space="preserve">процедуры и критерии признания квалификаций высшего образования имеют решающее значение для наращивания потенциала государств-членов ЮНЕСКО </w:t>
      </w:r>
      <w:r w:rsidR="00D35C87">
        <w:t>с целью</w:t>
      </w:r>
      <w:r w:rsidRPr="00304039">
        <w:t xml:space="preserve"> содействия мобильности в Азиатско-Тихоокеанском регионе и за его пределами.</w:t>
      </w:r>
    </w:p>
    <w:p w:rsidR="00D35C87" w:rsidRDefault="009323BE" w:rsidP="0080765C">
      <w:pPr>
        <w:jc w:val="both"/>
      </w:pPr>
      <w:r w:rsidRPr="009323BE">
        <w:t xml:space="preserve">Принимая во внимание </w:t>
      </w:r>
      <w:r w:rsidR="00E63938">
        <w:t xml:space="preserve">указанные </w:t>
      </w:r>
      <w:r w:rsidRPr="009323BE">
        <w:t xml:space="preserve">проблемы, а также проблемы качества, вызванные расширением </w:t>
      </w:r>
      <w:r w:rsidR="007A1B7A">
        <w:t xml:space="preserve">сферы </w:t>
      </w:r>
      <w:r w:rsidRPr="009323BE">
        <w:t xml:space="preserve">высшего образования в Азиатско-Тихоокеанском регионе, диверсификацией поставщиков высшего образования и все более широким использованием технологий в реализации новых видов программ высшего образования, </w:t>
      </w:r>
      <w:r>
        <w:rPr>
          <w:lang w:val="en-US"/>
        </w:rPr>
        <w:t>c</w:t>
      </w:r>
      <w:r w:rsidRPr="009323BE">
        <w:t xml:space="preserve"> 15 п</w:t>
      </w:r>
      <w:r>
        <w:t xml:space="preserve">о 16 июня 2017 года в </w:t>
      </w:r>
      <w:proofErr w:type="spellStart"/>
      <w:r>
        <w:t>Шэньчжэне</w:t>
      </w:r>
      <w:proofErr w:type="spellEnd"/>
      <w:r w:rsidRPr="009323BE">
        <w:t xml:space="preserve"> (Китайская Народная Республика) была проведена Азиатско-Тихоокеанская региональная конференция по </w:t>
      </w:r>
      <w:r w:rsidR="007A1B7A">
        <w:t xml:space="preserve">вопросам </w:t>
      </w:r>
      <w:r>
        <w:t xml:space="preserve">гарантии </w:t>
      </w:r>
      <w:r w:rsidRPr="009323BE">
        <w:t>качества в высшем образовании.</w:t>
      </w:r>
    </w:p>
    <w:p w:rsidR="00D35C87" w:rsidRDefault="009323BE" w:rsidP="0080765C">
      <w:pPr>
        <w:jc w:val="both"/>
      </w:pPr>
      <w:r>
        <w:t>П</w:t>
      </w:r>
      <w:r w:rsidRPr="009323BE">
        <w:t xml:space="preserve">редставляя </w:t>
      </w:r>
      <w:r>
        <w:t xml:space="preserve">многочисленных </w:t>
      </w:r>
      <w:r w:rsidRPr="009323BE">
        <w:t xml:space="preserve">заинтересованных лиц высшего образования, мы, участники встречи, </w:t>
      </w:r>
      <w:r w:rsidR="00284F48">
        <w:t>пришли к согласию в том, что</w:t>
      </w:r>
      <w:r w:rsidRPr="009323BE">
        <w:t>:</w:t>
      </w:r>
    </w:p>
    <w:p w:rsidR="009323BE" w:rsidRDefault="009323BE" w:rsidP="009323BE">
      <w:pPr>
        <w:pStyle w:val="a3"/>
        <w:numPr>
          <w:ilvl w:val="0"/>
          <w:numId w:val="1"/>
        </w:numPr>
        <w:jc w:val="both"/>
      </w:pPr>
      <w:r w:rsidRPr="009323BE">
        <w:t xml:space="preserve">При быстром </w:t>
      </w:r>
      <w:r w:rsidR="007A1B7A">
        <w:t xml:space="preserve">увеличении сектора высшего образования в современном мире </w:t>
      </w:r>
      <w:r w:rsidRPr="009323BE">
        <w:t xml:space="preserve">механизмы </w:t>
      </w:r>
      <w:r>
        <w:t xml:space="preserve">гарантии </w:t>
      </w:r>
      <w:r w:rsidRPr="009323BE">
        <w:t xml:space="preserve">качества как на внутреннем, так и на внешнем уровнях </w:t>
      </w:r>
      <w:r w:rsidR="00284F48">
        <w:t xml:space="preserve">необходимо </w:t>
      </w:r>
      <w:r w:rsidRPr="009323BE">
        <w:t>пере</w:t>
      </w:r>
      <w:r w:rsidR="007A1B7A">
        <w:t xml:space="preserve">вести </w:t>
      </w:r>
      <w:r w:rsidRPr="009323BE">
        <w:t xml:space="preserve">от традиционного процесса </w:t>
      </w:r>
      <w:r w:rsidR="00834644" w:rsidRPr="00E63938">
        <w:rPr>
          <w:i/>
        </w:rPr>
        <w:t>поступление</w:t>
      </w:r>
      <w:r w:rsidRPr="00E63938">
        <w:rPr>
          <w:i/>
        </w:rPr>
        <w:t>-</w:t>
      </w:r>
      <w:r w:rsidR="00834644" w:rsidRPr="00E63938">
        <w:rPr>
          <w:i/>
        </w:rPr>
        <w:t>выпуск</w:t>
      </w:r>
      <w:r w:rsidR="00834644">
        <w:t xml:space="preserve"> </w:t>
      </w:r>
      <w:r w:rsidRPr="009323BE">
        <w:t xml:space="preserve">к процессу обучения, ориентированного на результат. В </w:t>
      </w:r>
      <w:r w:rsidR="007A1B7A">
        <w:t>этом случае</w:t>
      </w:r>
      <w:r w:rsidRPr="009323BE">
        <w:t xml:space="preserve"> процессы должны быть четко согласованы с национальными </w:t>
      </w:r>
      <w:r w:rsidR="00834644">
        <w:t xml:space="preserve">системами </w:t>
      </w:r>
      <w:r w:rsidRPr="009323BE">
        <w:t>квалификаций (НСК) в качестве основного справочного инструмента для определения результатов обучения в ключевых областях.</w:t>
      </w:r>
    </w:p>
    <w:p w:rsidR="00834644" w:rsidRDefault="00834644" w:rsidP="00834644">
      <w:pPr>
        <w:jc w:val="both"/>
      </w:pPr>
    </w:p>
    <w:p w:rsidR="00834644" w:rsidRDefault="00834644" w:rsidP="00834644">
      <w:pPr>
        <w:pStyle w:val="a3"/>
        <w:numPr>
          <w:ilvl w:val="0"/>
          <w:numId w:val="1"/>
        </w:numPr>
        <w:jc w:val="both"/>
      </w:pPr>
      <w:r w:rsidRPr="00834644">
        <w:t xml:space="preserve">Результаты обучения, определенные в </w:t>
      </w:r>
      <w:r w:rsidRPr="009323BE">
        <w:t>НСК</w:t>
      </w:r>
      <w:r w:rsidRPr="00834644">
        <w:t xml:space="preserve">, должны быть целостными - охватывать познавательные и </w:t>
      </w:r>
      <w:r w:rsidR="00840B67">
        <w:t>иные</w:t>
      </w:r>
      <w:r w:rsidRPr="00834644">
        <w:t xml:space="preserve"> области обучения, включая как </w:t>
      </w:r>
      <w:r w:rsidR="00840B67">
        <w:t>общие, так и профессиональные</w:t>
      </w:r>
      <w:r w:rsidRPr="00834644">
        <w:t xml:space="preserve">/предметные знания, навыки и компетенции. </w:t>
      </w:r>
      <w:r w:rsidR="007A1B7A">
        <w:t xml:space="preserve">Параллельно возникает необходимость в разработке общей учебной матрицы, которая </w:t>
      </w:r>
      <w:r w:rsidRPr="00834644">
        <w:t>будет служить основой для разработки и анализа программ в высших учебных заведениях.</w:t>
      </w:r>
    </w:p>
    <w:p w:rsidR="00834644" w:rsidRDefault="00834644" w:rsidP="00834644">
      <w:pPr>
        <w:pStyle w:val="a3"/>
      </w:pPr>
    </w:p>
    <w:p w:rsidR="00834644" w:rsidRDefault="00834644" w:rsidP="00834644">
      <w:pPr>
        <w:pStyle w:val="a3"/>
        <w:numPr>
          <w:ilvl w:val="0"/>
          <w:numId w:val="1"/>
        </w:numPr>
        <w:jc w:val="both"/>
      </w:pPr>
      <w:r w:rsidRPr="00834644">
        <w:t xml:space="preserve">Основываясь на </w:t>
      </w:r>
      <w:r w:rsidR="007A1B7A" w:rsidRPr="00834644">
        <w:t>стремлении</w:t>
      </w:r>
      <w:r w:rsidR="007A1B7A">
        <w:t xml:space="preserve"> к</w:t>
      </w:r>
      <w:r w:rsidR="007A1B7A" w:rsidRPr="00834644">
        <w:t xml:space="preserve"> </w:t>
      </w:r>
      <w:r w:rsidR="007A1B7A">
        <w:t>целостны</w:t>
      </w:r>
      <w:r w:rsidRPr="00834644">
        <w:t xml:space="preserve">м результатам обучения, </w:t>
      </w:r>
      <w:r>
        <w:t>гаранти</w:t>
      </w:r>
      <w:r w:rsidR="00CA209D">
        <w:t>я</w:t>
      </w:r>
      <w:r w:rsidRPr="00834644">
        <w:t xml:space="preserve"> качества является источником взаимного доверия между странами </w:t>
      </w:r>
      <w:r w:rsidR="007A1B7A">
        <w:t>в плане</w:t>
      </w:r>
      <w:r w:rsidRPr="00834644">
        <w:t xml:space="preserve"> признания квалификаций высшего образования. </w:t>
      </w:r>
      <w:r w:rsidR="00CA209D">
        <w:t>В</w:t>
      </w:r>
      <w:r w:rsidRPr="00834644">
        <w:t xml:space="preserve">ажно, чтобы страны использовали существующие </w:t>
      </w:r>
      <w:r>
        <w:t>средства</w:t>
      </w:r>
      <w:r w:rsidRPr="00834644">
        <w:t xml:space="preserve"> прозрачности и сопоставимости, в том числе </w:t>
      </w:r>
      <w:r w:rsidR="00CA209D">
        <w:t>посредством</w:t>
      </w:r>
      <w:r w:rsidRPr="00834644">
        <w:t xml:space="preserve"> ратификации и </w:t>
      </w:r>
      <w:r w:rsidR="00284F48">
        <w:t>реализации</w:t>
      </w:r>
      <w:r w:rsidRPr="00834644">
        <w:t xml:space="preserve"> Азиатско-тихоокеанской региональной конвенции о признании квалификаций в высшем образовании (Токийская конвенция 2011 года). Механизмы признания, основанные на </w:t>
      </w:r>
      <w:r>
        <w:t>гарантии</w:t>
      </w:r>
      <w:r w:rsidR="00284F48">
        <w:t xml:space="preserve"> качества и</w:t>
      </w:r>
      <w:r w:rsidRPr="00834644">
        <w:t xml:space="preserve"> </w:t>
      </w:r>
      <w:r w:rsidR="00284F48">
        <w:t>гармонизации системы</w:t>
      </w:r>
      <w:r w:rsidRPr="00834644">
        <w:t xml:space="preserve">, вносят существенный вклад в </w:t>
      </w:r>
      <w:r w:rsidR="00CA209D">
        <w:t>поддержку</w:t>
      </w:r>
      <w:r w:rsidRPr="00834644">
        <w:t xml:space="preserve"> </w:t>
      </w:r>
      <w:r w:rsidR="00CA209D">
        <w:t>мобильности студентов, признания</w:t>
      </w:r>
      <w:r w:rsidRPr="00834644">
        <w:t xml:space="preserve"> обучения</w:t>
      </w:r>
      <w:r>
        <w:t>, полученного различными</w:t>
      </w:r>
      <w:r w:rsidRPr="00834644">
        <w:t xml:space="preserve"> </w:t>
      </w:r>
      <w:r>
        <w:t>способами</w:t>
      </w:r>
      <w:r w:rsidR="00CA209D">
        <w:t>,</w:t>
      </w:r>
      <w:r>
        <w:t xml:space="preserve"> </w:t>
      </w:r>
      <w:r w:rsidR="007A1B7A">
        <w:t xml:space="preserve">а также </w:t>
      </w:r>
      <w:r>
        <w:t>способствуют обмену</w:t>
      </w:r>
      <w:r w:rsidRPr="00834644">
        <w:t xml:space="preserve"> знаниями, </w:t>
      </w:r>
      <w:r w:rsidR="00284F48">
        <w:t xml:space="preserve">развитию </w:t>
      </w:r>
      <w:r w:rsidRPr="00834644">
        <w:t xml:space="preserve">культурной </w:t>
      </w:r>
      <w:r>
        <w:t>компетентност</w:t>
      </w:r>
      <w:r w:rsidR="00CA209D">
        <w:t xml:space="preserve">и </w:t>
      </w:r>
      <w:r w:rsidRPr="00834644">
        <w:t>и глобально</w:t>
      </w:r>
      <w:r w:rsidR="007843C3">
        <w:t>й сознательности</w:t>
      </w:r>
      <w:r w:rsidRPr="00834644">
        <w:t>.</w:t>
      </w:r>
    </w:p>
    <w:p w:rsidR="007843C3" w:rsidRDefault="007843C3" w:rsidP="007843C3">
      <w:pPr>
        <w:pStyle w:val="a3"/>
      </w:pPr>
    </w:p>
    <w:p w:rsidR="007843C3" w:rsidRDefault="00284F48" w:rsidP="007843C3">
      <w:pPr>
        <w:pStyle w:val="a3"/>
        <w:numPr>
          <w:ilvl w:val="0"/>
          <w:numId w:val="1"/>
        </w:numPr>
        <w:jc w:val="both"/>
      </w:pPr>
      <w:r>
        <w:t xml:space="preserve">В соответствии с </w:t>
      </w:r>
      <w:r w:rsidR="007843C3" w:rsidRPr="007843C3">
        <w:t>требования</w:t>
      </w:r>
      <w:r w:rsidR="007843C3">
        <w:t>м</w:t>
      </w:r>
      <w:r>
        <w:t>и</w:t>
      </w:r>
      <w:r w:rsidR="007843C3" w:rsidRPr="007843C3">
        <w:t xml:space="preserve"> современного </w:t>
      </w:r>
      <w:r w:rsidR="007843C3">
        <w:t>студента</w:t>
      </w:r>
      <w:r w:rsidR="007843C3" w:rsidRPr="007843C3">
        <w:t xml:space="preserve">, высшие учебные заведения будут стремиться предлагать </w:t>
      </w:r>
      <w:r w:rsidR="003E43FE">
        <w:t>обучение</w:t>
      </w:r>
      <w:r w:rsidR="007843C3" w:rsidRPr="007843C3">
        <w:t xml:space="preserve"> на протяжении всей жизни </w:t>
      </w:r>
      <w:r w:rsidR="007843C3">
        <w:t>с использованием новых</w:t>
      </w:r>
      <w:r w:rsidR="007843C3" w:rsidRPr="007843C3">
        <w:t xml:space="preserve"> </w:t>
      </w:r>
      <w:r w:rsidR="007A1B7A">
        <w:t>видов</w:t>
      </w:r>
      <w:r w:rsidR="007843C3" w:rsidRPr="007843C3">
        <w:t xml:space="preserve"> курсов и </w:t>
      </w:r>
      <w:r w:rsidR="003324C4">
        <w:t xml:space="preserve">образовательных </w:t>
      </w:r>
      <w:r w:rsidR="007843C3" w:rsidRPr="007843C3">
        <w:t xml:space="preserve">программ с </w:t>
      </w:r>
      <w:r w:rsidR="007843C3">
        <w:t xml:space="preserve">применением </w:t>
      </w:r>
      <w:r w:rsidR="007843C3" w:rsidRPr="007843C3">
        <w:t>онлайн-платформ и электронн</w:t>
      </w:r>
      <w:r w:rsidR="00CA209D">
        <w:t>ого</w:t>
      </w:r>
      <w:r w:rsidR="007843C3" w:rsidRPr="007843C3">
        <w:t xml:space="preserve"> </w:t>
      </w:r>
      <w:r w:rsidR="007843C3">
        <w:t xml:space="preserve">обучения </w:t>
      </w:r>
      <w:r w:rsidR="007843C3" w:rsidRPr="007843C3">
        <w:t>(т.е. включать MOO</w:t>
      </w:r>
      <w:r w:rsidR="007843C3">
        <w:t>К</w:t>
      </w:r>
      <w:r w:rsidR="007843C3">
        <w:rPr>
          <w:rStyle w:val="a6"/>
        </w:rPr>
        <w:footnoteReference w:id="1"/>
      </w:r>
      <w:r w:rsidR="007843C3" w:rsidRPr="007843C3">
        <w:t xml:space="preserve">, жизненный опыт и </w:t>
      </w:r>
      <w:r w:rsidR="003E43FE">
        <w:t xml:space="preserve">доступ к рынку труда </w:t>
      </w:r>
      <w:r w:rsidR="007843C3" w:rsidRPr="007843C3">
        <w:t xml:space="preserve">через смешанные </w:t>
      </w:r>
      <w:r w:rsidR="00A000A2">
        <w:t>и</w:t>
      </w:r>
      <w:r w:rsidR="007843C3" w:rsidRPr="007843C3">
        <w:t xml:space="preserve"> гибкие подходы к обучению) и трансграничное перемещение учреждений</w:t>
      </w:r>
      <w:r w:rsidR="00BD60AA">
        <w:t xml:space="preserve"> образования</w:t>
      </w:r>
      <w:r w:rsidR="007843C3" w:rsidRPr="007843C3">
        <w:t xml:space="preserve"> и </w:t>
      </w:r>
      <w:r w:rsidR="00BD60AA">
        <w:t xml:space="preserve">образовательных </w:t>
      </w:r>
      <w:r w:rsidR="007843C3" w:rsidRPr="007843C3">
        <w:t xml:space="preserve">программ. </w:t>
      </w:r>
      <w:r w:rsidR="00BD60AA">
        <w:t>Н</w:t>
      </w:r>
      <w:r w:rsidR="007843C3" w:rsidRPr="007843C3">
        <w:t xml:space="preserve">овые формы высшего образования должны быть совместимы с национальными </w:t>
      </w:r>
      <w:r w:rsidR="00BD60AA">
        <w:t>системами</w:t>
      </w:r>
      <w:r w:rsidR="007843C3" w:rsidRPr="007843C3">
        <w:t xml:space="preserve"> квалификаций, подчиняться тем же требованиям </w:t>
      </w:r>
      <w:r w:rsidR="00BD60AA">
        <w:t>гарантии</w:t>
      </w:r>
      <w:r w:rsidR="007843C3" w:rsidRPr="007843C3">
        <w:t xml:space="preserve"> качества и </w:t>
      </w:r>
      <w:r w:rsidR="003E43FE">
        <w:t xml:space="preserve">детально прописаны </w:t>
      </w:r>
      <w:r w:rsidR="007843C3" w:rsidRPr="007843C3">
        <w:t>с точки зрения результатов обучения.</w:t>
      </w:r>
    </w:p>
    <w:p w:rsidR="00A000A2" w:rsidRDefault="00A000A2" w:rsidP="00A000A2">
      <w:pPr>
        <w:pStyle w:val="a3"/>
      </w:pPr>
    </w:p>
    <w:p w:rsidR="00A000A2" w:rsidRDefault="00A000A2" w:rsidP="00A000A2">
      <w:pPr>
        <w:pStyle w:val="a3"/>
        <w:numPr>
          <w:ilvl w:val="0"/>
          <w:numId w:val="1"/>
        </w:numPr>
        <w:jc w:val="both"/>
      </w:pPr>
      <w:r w:rsidRPr="00A000A2">
        <w:t>Учитывая растущее разнообразие</w:t>
      </w:r>
      <w:r w:rsidR="007A1B7A">
        <w:t xml:space="preserve"> форм и методов в системе высшего образования</w:t>
      </w:r>
      <w:r w:rsidRPr="00A000A2">
        <w:t xml:space="preserve">, важно наличие сильной и </w:t>
      </w:r>
      <w:proofErr w:type="gramStart"/>
      <w:r w:rsidR="003E43FE">
        <w:t xml:space="preserve">релевантной </w:t>
      </w:r>
      <w:r w:rsidRPr="00A000A2">
        <w:t>внутренней политики</w:t>
      </w:r>
      <w:proofErr w:type="gramEnd"/>
      <w:r w:rsidRPr="00A000A2">
        <w:t xml:space="preserve"> и практики </w:t>
      </w:r>
      <w:r>
        <w:t xml:space="preserve">по </w:t>
      </w:r>
      <w:r w:rsidR="00CA209D">
        <w:t xml:space="preserve">гарантии </w:t>
      </w:r>
      <w:r w:rsidR="00CA209D" w:rsidRPr="00A000A2">
        <w:t>качества</w:t>
      </w:r>
      <w:r w:rsidRPr="00A000A2">
        <w:t xml:space="preserve"> в дополнение к внешним стандартам и руководящим принципам качества. </w:t>
      </w:r>
      <w:r w:rsidR="003E43FE">
        <w:t>Для</w:t>
      </w:r>
      <w:r w:rsidR="003E43FE" w:rsidRPr="00A000A2">
        <w:t xml:space="preserve"> обеспеч</w:t>
      </w:r>
      <w:r w:rsidR="003E43FE">
        <w:t xml:space="preserve">ения </w:t>
      </w:r>
      <w:r w:rsidR="003E43FE" w:rsidRPr="00A000A2">
        <w:t>общесистемн</w:t>
      </w:r>
      <w:r w:rsidR="003E43FE">
        <w:t>ой согласованности</w:t>
      </w:r>
      <w:r w:rsidR="003E43FE" w:rsidRPr="00A000A2">
        <w:t xml:space="preserve"> </w:t>
      </w:r>
      <w:r w:rsidRPr="00A000A2">
        <w:t xml:space="preserve">внешние регламенты и стандарты необходимо </w:t>
      </w:r>
      <w:r w:rsidR="003E43FE">
        <w:t>реализовать</w:t>
      </w:r>
      <w:r w:rsidRPr="00A000A2">
        <w:t xml:space="preserve"> на институциональном уровне</w:t>
      </w:r>
      <w:r w:rsidR="007A1B7A">
        <w:t>;</w:t>
      </w:r>
      <w:r w:rsidRPr="00A000A2">
        <w:t xml:space="preserve"> </w:t>
      </w:r>
      <w:r w:rsidR="003E43FE">
        <w:t xml:space="preserve">в то же время </w:t>
      </w:r>
      <w:r w:rsidRPr="00A000A2">
        <w:t xml:space="preserve">учреждениям необходимо гибко адаптировать их </w:t>
      </w:r>
      <w:r w:rsidR="00B74AC0">
        <w:t xml:space="preserve">в соответствии со </w:t>
      </w:r>
      <w:r w:rsidRPr="00A000A2">
        <w:t>своим</w:t>
      </w:r>
      <w:r w:rsidR="00B74AC0">
        <w:t>и</w:t>
      </w:r>
      <w:r w:rsidRPr="00A000A2">
        <w:t xml:space="preserve"> профилям</w:t>
      </w:r>
      <w:r w:rsidR="00B74AC0">
        <w:t>и</w:t>
      </w:r>
      <w:r w:rsidR="007A1B7A">
        <w:t xml:space="preserve"> обучения, а также всеми субъектами образовательного процесса</w:t>
      </w:r>
      <w:r w:rsidRPr="00A000A2">
        <w:t>.</w:t>
      </w:r>
    </w:p>
    <w:p w:rsidR="00A000A2" w:rsidRDefault="00A000A2" w:rsidP="00A000A2">
      <w:pPr>
        <w:pStyle w:val="a3"/>
      </w:pPr>
    </w:p>
    <w:p w:rsidR="00A000A2" w:rsidRDefault="007A1B7A" w:rsidP="00BE6C10">
      <w:pPr>
        <w:pStyle w:val="a3"/>
        <w:numPr>
          <w:ilvl w:val="0"/>
          <w:numId w:val="1"/>
        </w:numPr>
        <w:jc w:val="both"/>
      </w:pPr>
      <w:r>
        <w:t xml:space="preserve">Ключом к успешному функционированию любого механизма гарантии качества является обеспечение </w:t>
      </w:r>
      <w:r w:rsidR="00A000A2">
        <w:t>культуры качества жизни, совершенству</w:t>
      </w:r>
      <w:r>
        <w:t xml:space="preserve">ющейся </w:t>
      </w:r>
      <w:r w:rsidR="00A000A2">
        <w:t>и развива</w:t>
      </w:r>
      <w:r>
        <w:t xml:space="preserve">ющейся прежде всего </w:t>
      </w:r>
      <w:r w:rsidR="00A000A2">
        <w:t>на институциональном уровне</w:t>
      </w:r>
      <w:r>
        <w:t>,</w:t>
      </w:r>
      <w:r w:rsidR="00A000A2">
        <w:t xml:space="preserve"> </w:t>
      </w:r>
      <w:r>
        <w:t xml:space="preserve">на </w:t>
      </w:r>
      <w:r w:rsidR="00A000A2">
        <w:t>уровне п</w:t>
      </w:r>
      <w:r w:rsidR="00B74AC0">
        <w:t>рофессорско-преподавательского состава</w:t>
      </w:r>
      <w:r>
        <w:t>.</w:t>
      </w:r>
      <w:r w:rsidR="00A000A2">
        <w:t xml:space="preserve"> </w:t>
      </w:r>
      <w:r w:rsidR="0044195B">
        <w:t xml:space="preserve">Желательно, чтобы </w:t>
      </w:r>
      <w:r w:rsidR="00A000A2">
        <w:t xml:space="preserve">поддержка </w:t>
      </w:r>
      <w:r w:rsidR="0044195B">
        <w:t xml:space="preserve">образовательного </w:t>
      </w:r>
      <w:r w:rsidR="00A000A2">
        <w:t xml:space="preserve">потенциала, поддержка исследований и подготовка кадров </w:t>
      </w:r>
      <w:r w:rsidR="00B74AC0">
        <w:t>обеспечива</w:t>
      </w:r>
      <w:r w:rsidR="0044195B">
        <w:t xml:space="preserve">лись как </w:t>
      </w:r>
      <w:r w:rsidR="00A000A2">
        <w:t xml:space="preserve">внешними агентствами по гарантии качества, </w:t>
      </w:r>
      <w:r w:rsidR="0044195B">
        <w:t xml:space="preserve">так и </w:t>
      </w:r>
      <w:r w:rsidR="00A000A2">
        <w:t xml:space="preserve">в </w:t>
      </w:r>
      <w:r w:rsidR="0044195B">
        <w:t xml:space="preserve">самих </w:t>
      </w:r>
      <w:r w:rsidR="00A000A2">
        <w:t>учебных заведениях.</w:t>
      </w:r>
    </w:p>
    <w:p w:rsidR="00A000A2" w:rsidRDefault="00A000A2" w:rsidP="00A000A2">
      <w:pPr>
        <w:pStyle w:val="a3"/>
      </w:pPr>
    </w:p>
    <w:p w:rsidR="00A000A2" w:rsidRDefault="00B74AC0" w:rsidP="00A000A2">
      <w:pPr>
        <w:pStyle w:val="a3"/>
        <w:numPr>
          <w:ilvl w:val="0"/>
          <w:numId w:val="1"/>
        </w:numPr>
        <w:jc w:val="both"/>
      </w:pPr>
      <w:r>
        <w:t xml:space="preserve">Активное привлечение </w:t>
      </w:r>
      <w:r w:rsidR="00A000A2" w:rsidRPr="00A000A2">
        <w:t xml:space="preserve">заинтересованных сторон имеет решающее значение для </w:t>
      </w:r>
      <w:r>
        <w:t>оценивания</w:t>
      </w:r>
      <w:r w:rsidR="00A000A2" w:rsidRPr="00A000A2">
        <w:t xml:space="preserve"> и постоянно</w:t>
      </w:r>
      <w:r>
        <w:t xml:space="preserve">й корректировки </w:t>
      </w:r>
      <w:r w:rsidR="00A000A2" w:rsidRPr="00A000A2">
        <w:t xml:space="preserve">результатов обучения </w:t>
      </w:r>
      <w:r w:rsidR="00BD60AA">
        <w:t>с учетом НСК на уровне дисциплин</w:t>
      </w:r>
      <w:r w:rsidR="00A000A2" w:rsidRPr="00A000A2">
        <w:t xml:space="preserve"> и программ. Специалисты по </w:t>
      </w:r>
      <w:r w:rsidR="00A000A2">
        <w:t>гарантии</w:t>
      </w:r>
      <w:r w:rsidR="00A000A2" w:rsidRPr="00A000A2">
        <w:t xml:space="preserve"> качества, студенты, исследователи, </w:t>
      </w:r>
      <w:r w:rsidR="005366A9">
        <w:t>преподаватели вузов</w:t>
      </w:r>
      <w:r w:rsidR="00A000A2" w:rsidRPr="00A000A2">
        <w:t xml:space="preserve">, работодатели и </w:t>
      </w:r>
      <w:r w:rsidR="00BF3F1C">
        <w:t xml:space="preserve">представители </w:t>
      </w:r>
      <w:r w:rsidR="00BF3F1C" w:rsidRPr="00A000A2">
        <w:t>промышлен</w:t>
      </w:r>
      <w:r w:rsidR="00BF3F1C">
        <w:t xml:space="preserve">ного сектора </w:t>
      </w:r>
      <w:r w:rsidR="00A000A2" w:rsidRPr="00A000A2">
        <w:t>должны</w:t>
      </w:r>
      <w:r w:rsidR="00BF3F1C">
        <w:t xml:space="preserve"> </w:t>
      </w:r>
      <w:r w:rsidR="00CA209D">
        <w:t>сотрудничать</w:t>
      </w:r>
      <w:r w:rsidR="00BF3F1C">
        <w:t xml:space="preserve"> для </w:t>
      </w:r>
      <w:r w:rsidR="00A000A2" w:rsidRPr="00A000A2">
        <w:t>обеспеч</w:t>
      </w:r>
      <w:r w:rsidR="00BF3F1C">
        <w:t>ения согласованности при разработке образовательных программ</w:t>
      </w:r>
      <w:r w:rsidR="00A000A2" w:rsidRPr="00A000A2">
        <w:t xml:space="preserve">, </w:t>
      </w:r>
      <w:r w:rsidR="005366A9">
        <w:t xml:space="preserve">которые </w:t>
      </w:r>
      <w:r w:rsidR="0044195B">
        <w:t xml:space="preserve">должны </w:t>
      </w:r>
      <w:r w:rsidR="005366A9">
        <w:t>соответств</w:t>
      </w:r>
      <w:r w:rsidR="0044195B">
        <w:t xml:space="preserve">овать </w:t>
      </w:r>
      <w:r w:rsidR="005366A9">
        <w:t xml:space="preserve">актуальным </w:t>
      </w:r>
      <w:r w:rsidR="005366A9" w:rsidRPr="00A000A2">
        <w:t>цел</w:t>
      </w:r>
      <w:r w:rsidR="005366A9">
        <w:t>ям</w:t>
      </w:r>
      <w:r>
        <w:t xml:space="preserve"> </w:t>
      </w:r>
      <w:r w:rsidR="005366A9">
        <w:t xml:space="preserve">всестороннего </w:t>
      </w:r>
      <w:r w:rsidR="00A000A2" w:rsidRPr="00A000A2">
        <w:t xml:space="preserve">развития </w:t>
      </w:r>
      <w:r w:rsidR="005366A9">
        <w:t xml:space="preserve">системы </w:t>
      </w:r>
      <w:r w:rsidR="00A000A2" w:rsidRPr="00A000A2">
        <w:t xml:space="preserve">непрерывного обучения и </w:t>
      </w:r>
      <w:r w:rsidR="0044195B">
        <w:t xml:space="preserve">популяризации </w:t>
      </w:r>
      <w:r w:rsidR="00A000A2" w:rsidRPr="00A000A2">
        <w:t>знаний</w:t>
      </w:r>
      <w:r w:rsidR="005366A9">
        <w:t>. Это отвечает ожиданиям</w:t>
      </w:r>
      <w:r w:rsidR="005366A9" w:rsidRPr="00A000A2">
        <w:t xml:space="preserve"> стран Ази</w:t>
      </w:r>
      <w:r w:rsidR="005366A9">
        <w:t xml:space="preserve">атско-Тихоокеанского региона </w:t>
      </w:r>
      <w:r w:rsidR="005366A9" w:rsidRPr="00A000A2">
        <w:t xml:space="preserve">в </w:t>
      </w:r>
      <w:r w:rsidR="005366A9">
        <w:t xml:space="preserve">области их </w:t>
      </w:r>
      <w:r w:rsidR="005366A9" w:rsidRPr="00A000A2">
        <w:t>развития</w:t>
      </w:r>
      <w:r w:rsidR="005366A9">
        <w:t>,</w:t>
      </w:r>
      <w:r w:rsidR="005366A9" w:rsidRPr="00A000A2">
        <w:t xml:space="preserve"> </w:t>
      </w:r>
      <w:r w:rsidR="005366A9">
        <w:t xml:space="preserve">в том числе </w:t>
      </w:r>
      <w:r w:rsidR="00A000A2" w:rsidRPr="00A000A2">
        <w:t>социально-</w:t>
      </w:r>
      <w:r w:rsidR="005366A9">
        <w:t>экономическом и</w:t>
      </w:r>
      <w:r w:rsidR="00A000A2" w:rsidRPr="00A000A2">
        <w:t xml:space="preserve"> </w:t>
      </w:r>
      <w:r w:rsidR="005366A9" w:rsidRPr="00A000A2">
        <w:t>гумани</w:t>
      </w:r>
      <w:r w:rsidR="005366A9">
        <w:t>тарном направлениях</w:t>
      </w:r>
      <w:r w:rsidR="00A000A2" w:rsidRPr="00A000A2">
        <w:t>.</w:t>
      </w:r>
    </w:p>
    <w:p w:rsidR="00BF3F1C" w:rsidRDefault="00BF3F1C" w:rsidP="00BF3F1C">
      <w:pPr>
        <w:pStyle w:val="a3"/>
      </w:pPr>
    </w:p>
    <w:p w:rsidR="00BF3F1C" w:rsidRPr="0080765C" w:rsidRDefault="00BF3F1C" w:rsidP="00BF3F1C">
      <w:pPr>
        <w:jc w:val="both"/>
      </w:pPr>
      <w:r w:rsidRPr="00BF3F1C">
        <w:t xml:space="preserve">ЮНЕСКО в качестве ведущего </w:t>
      </w:r>
      <w:r w:rsidR="0044195B">
        <w:t>учредителя</w:t>
      </w:r>
      <w:r w:rsidRPr="00BF3F1C">
        <w:t xml:space="preserve"> программы «Образование 2030» </w:t>
      </w:r>
      <w:r>
        <w:t>совместно</w:t>
      </w:r>
      <w:r w:rsidRPr="00BF3F1C">
        <w:t xml:space="preserve"> со своими партнерами будет поддерживать </w:t>
      </w:r>
      <w:r w:rsidR="00C63578">
        <w:t>усилия</w:t>
      </w:r>
      <w:r w:rsidR="00C63578" w:rsidRPr="00BF3F1C">
        <w:t xml:space="preserve"> </w:t>
      </w:r>
      <w:r w:rsidR="00C63578">
        <w:t xml:space="preserve">стран </w:t>
      </w:r>
      <w:r w:rsidRPr="00BF3F1C">
        <w:t>Азиатско-Тихоокеанско</w:t>
      </w:r>
      <w:r w:rsidR="00C63578">
        <w:t>го региона</w:t>
      </w:r>
      <w:r w:rsidRPr="00BF3F1C">
        <w:t xml:space="preserve"> </w:t>
      </w:r>
      <w:r w:rsidR="00DF6E1D">
        <w:t>в области разработки и осуществления</w:t>
      </w:r>
      <w:r w:rsidR="00C63578">
        <w:t xml:space="preserve"> деятельности по наращиванию потенциала на региональном</w:t>
      </w:r>
      <w:r w:rsidRPr="00BF3F1C">
        <w:t xml:space="preserve"> и </w:t>
      </w:r>
      <w:r w:rsidR="00C63578">
        <w:t>суб</w:t>
      </w:r>
      <w:r>
        <w:t>региональн</w:t>
      </w:r>
      <w:r w:rsidR="0044195B">
        <w:t>ом уровнях</w:t>
      </w:r>
      <w:r w:rsidR="00C63578">
        <w:t xml:space="preserve">. Это послужит </w:t>
      </w:r>
      <w:r w:rsidRPr="00BF3F1C">
        <w:t>основ</w:t>
      </w:r>
      <w:r w:rsidR="00C63578">
        <w:t>ой для</w:t>
      </w:r>
      <w:r w:rsidRPr="00BF3F1C">
        <w:t xml:space="preserve"> будущей гармонизации </w:t>
      </w:r>
      <w:r w:rsidR="00C63578">
        <w:t xml:space="preserve">систем </w:t>
      </w:r>
      <w:r>
        <w:t xml:space="preserve">гарантии </w:t>
      </w:r>
      <w:r w:rsidRPr="00BF3F1C">
        <w:t>качест</w:t>
      </w:r>
      <w:r>
        <w:t>ва в сфере высшего образования и обучения</w:t>
      </w:r>
      <w:r w:rsidRPr="00BF3F1C">
        <w:t xml:space="preserve"> </w:t>
      </w:r>
      <w:r w:rsidR="0044195B">
        <w:t xml:space="preserve">граждан </w:t>
      </w:r>
      <w:r w:rsidRPr="00BF3F1C">
        <w:t xml:space="preserve">на протяжении всей жизни </w:t>
      </w:r>
      <w:r w:rsidR="00DF6E1D">
        <w:t xml:space="preserve">в </w:t>
      </w:r>
      <w:r w:rsidR="0044195B">
        <w:t xml:space="preserve">данном </w:t>
      </w:r>
      <w:r w:rsidR="00C63578">
        <w:t>регион</w:t>
      </w:r>
      <w:r w:rsidR="00DF6E1D">
        <w:t>е</w:t>
      </w:r>
      <w:r w:rsidRPr="00BF3F1C">
        <w:t>.</w:t>
      </w:r>
    </w:p>
    <w:sectPr w:rsidR="00BF3F1C" w:rsidRPr="0080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16" w:rsidRDefault="00FA2C16" w:rsidP="007843C3">
      <w:pPr>
        <w:spacing w:after="0" w:line="240" w:lineRule="auto"/>
      </w:pPr>
      <w:r>
        <w:separator/>
      </w:r>
    </w:p>
  </w:endnote>
  <w:endnote w:type="continuationSeparator" w:id="0">
    <w:p w:rsidR="00FA2C16" w:rsidRDefault="00FA2C16" w:rsidP="0078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16" w:rsidRDefault="00FA2C16" w:rsidP="007843C3">
      <w:pPr>
        <w:spacing w:after="0" w:line="240" w:lineRule="auto"/>
      </w:pPr>
      <w:r>
        <w:separator/>
      </w:r>
    </w:p>
  </w:footnote>
  <w:footnote w:type="continuationSeparator" w:id="0">
    <w:p w:rsidR="00FA2C16" w:rsidRDefault="00FA2C16" w:rsidP="007843C3">
      <w:pPr>
        <w:spacing w:after="0" w:line="240" w:lineRule="auto"/>
      </w:pPr>
      <w:r>
        <w:continuationSeparator/>
      </w:r>
    </w:p>
  </w:footnote>
  <w:footnote w:id="1">
    <w:p w:rsidR="007843C3" w:rsidRPr="00CA209D" w:rsidRDefault="007843C3" w:rsidP="007843C3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CA209D">
        <w:rPr>
          <w:rFonts w:cs="Arial"/>
          <w:b/>
          <w:bCs/>
          <w:color w:val="222222"/>
          <w:sz w:val="16"/>
          <w:szCs w:val="16"/>
          <w:shd w:val="clear" w:color="auto" w:fill="FFFFFF"/>
        </w:rPr>
        <w:t xml:space="preserve">Массовый открытый онлайн-курс </w:t>
      </w:r>
      <w:r w:rsidRPr="00CA209D">
        <w:rPr>
          <w:rFonts w:cs="Arial"/>
          <w:color w:val="222222"/>
          <w:sz w:val="16"/>
          <w:szCs w:val="16"/>
          <w:shd w:val="clear" w:color="auto" w:fill="FFFFFF"/>
        </w:rPr>
        <w:t>(сокр.:</w:t>
      </w:r>
      <w:r w:rsidRPr="00CA209D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 xml:space="preserve"> </w:t>
      </w:r>
      <w:r w:rsidRPr="00CA209D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МООК</w:t>
      </w:r>
      <w:r w:rsidRPr="00CA209D">
        <w:rPr>
          <w:rFonts w:cs="Arial"/>
          <w:color w:val="222222"/>
          <w:sz w:val="16"/>
          <w:szCs w:val="16"/>
          <w:shd w:val="clear" w:color="auto" w:fill="FFFFFF"/>
        </w:rPr>
        <w:t>) — обучающий курс с массовым интерактивным участием c применением технологий</w:t>
      </w:r>
      <w:r w:rsidRPr="00CA209D">
        <w:rPr>
          <w:sz w:val="16"/>
          <w:szCs w:val="16"/>
        </w:rPr>
        <w:t xml:space="preserve"> </w:t>
      </w:r>
      <w:hyperlink r:id="rId1" w:tooltip="Электронное обучение" w:history="1">
        <w:r w:rsidRPr="00CA209D">
          <w:rPr>
            <w:color w:val="222222"/>
            <w:sz w:val="16"/>
            <w:szCs w:val="16"/>
          </w:rPr>
          <w:t>электронного обучения</w:t>
        </w:r>
      </w:hyperlink>
      <w:r w:rsidRPr="00CA209D">
        <w:rPr>
          <w:sz w:val="16"/>
          <w:szCs w:val="16"/>
        </w:rPr>
        <w:t xml:space="preserve"> </w:t>
      </w:r>
      <w:r w:rsidRPr="00CA209D">
        <w:rPr>
          <w:rFonts w:cs="Arial"/>
          <w:color w:val="222222"/>
          <w:sz w:val="16"/>
          <w:szCs w:val="16"/>
          <w:shd w:val="clear" w:color="auto" w:fill="FFFFFF"/>
        </w:rPr>
        <w:t>и открытым доступом через</w:t>
      </w:r>
      <w:r w:rsidRPr="00CA209D">
        <w:rPr>
          <w:sz w:val="16"/>
          <w:szCs w:val="16"/>
        </w:rPr>
        <w:t xml:space="preserve"> </w:t>
      </w:r>
      <w:hyperlink r:id="rId2" w:tooltip="Интернет" w:history="1">
        <w:r w:rsidRPr="00CA209D">
          <w:rPr>
            <w:color w:val="222222"/>
            <w:sz w:val="16"/>
            <w:szCs w:val="16"/>
          </w:rPr>
          <w:t>Интернет</w:t>
        </w:r>
      </w:hyperlink>
      <w:r w:rsidRPr="00CA209D">
        <w:rPr>
          <w:rFonts w:cs="Arial"/>
          <w:color w:val="222222"/>
          <w:sz w:val="16"/>
          <w:szCs w:val="16"/>
          <w:shd w:val="clear" w:color="auto" w:fill="FFFFFF"/>
        </w:rPr>
        <w:t xml:space="preserve">, одна из форм </w:t>
      </w:r>
      <w:hyperlink r:id="rId3" w:tooltip="Дистанционное обучение" w:history="1">
        <w:r w:rsidRPr="00CA209D">
          <w:rPr>
            <w:color w:val="222222"/>
            <w:sz w:val="16"/>
            <w:szCs w:val="16"/>
          </w:rPr>
          <w:t>дистанционного образования</w:t>
        </w:r>
      </w:hyperlink>
      <w:r w:rsidRPr="00CA209D">
        <w:rPr>
          <w:rFonts w:cs="Arial"/>
          <w:color w:val="222222"/>
          <w:sz w:val="16"/>
          <w:szCs w:val="16"/>
          <w:shd w:val="clear" w:color="auto" w:fill="FFFFFF"/>
        </w:rPr>
        <w:t>. В качестве дополнений к традиционным материалам учебного курса, таким как видео, чтение и домашние задания, массовые открытые онлайн-курсы дают возможность использовать интерактивные форумы пользователей, которые помогают создавать и поддерживать сообщества студентов, преподавателей и ассистентов.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859"/>
    <w:multiLevelType w:val="hybridMultilevel"/>
    <w:tmpl w:val="CFF8E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C7"/>
    <w:rsid w:val="000D424A"/>
    <w:rsid w:val="0013720D"/>
    <w:rsid w:val="001F62EB"/>
    <w:rsid w:val="00284F48"/>
    <w:rsid w:val="002E23CC"/>
    <w:rsid w:val="0030059F"/>
    <w:rsid w:val="00304039"/>
    <w:rsid w:val="003324C4"/>
    <w:rsid w:val="003B7AF6"/>
    <w:rsid w:val="003E43FE"/>
    <w:rsid w:val="0044195B"/>
    <w:rsid w:val="004820D8"/>
    <w:rsid w:val="00483269"/>
    <w:rsid w:val="005136BF"/>
    <w:rsid w:val="005366A9"/>
    <w:rsid w:val="007843C3"/>
    <w:rsid w:val="007A1B7A"/>
    <w:rsid w:val="0080765C"/>
    <w:rsid w:val="00834644"/>
    <w:rsid w:val="00840B67"/>
    <w:rsid w:val="00895394"/>
    <w:rsid w:val="008C3BC7"/>
    <w:rsid w:val="008F5A57"/>
    <w:rsid w:val="009323BE"/>
    <w:rsid w:val="00A000A2"/>
    <w:rsid w:val="00B625C7"/>
    <w:rsid w:val="00B74AC0"/>
    <w:rsid w:val="00BD60AA"/>
    <w:rsid w:val="00BF3F1C"/>
    <w:rsid w:val="00C63578"/>
    <w:rsid w:val="00CA209D"/>
    <w:rsid w:val="00CB1CB9"/>
    <w:rsid w:val="00D35C87"/>
    <w:rsid w:val="00DE6E5F"/>
    <w:rsid w:val="00DF6E1D"/>
    <w:rsid w:val="00E63938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60E4-5FC0-43B5-A58C-B9C8195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23B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43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43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43C3"/>
    <w:rPr>
      <w:vertAlign w:val="superscript"/>
    </w:rPr>
  </w:style>
  <w:style w:type="character" w:customStyle="1" w:styleId="apple-converted-space">
    <w:name w:val="apple-converted-space"/>
    <w:basedOn w:val="a0"/>
    <w:rsid w:val="007843C3"/>
  </w:style>
  <w:style w:type="character" w:styleId="a7">
    <w:name w:val="Hyperlink"/>
    <w:basedOn w:val="a0"/>
    <w:uiPriority w:val="99"/>
    <w:semiHidden/>
    <w:unhideWhenUsed/>
    <w:rsid w:val="00784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2" Type="http://schemas.openxmlformats.org/officeDocument/2006/relationships/hyperlink" Target="https://ru.wikipedia.org/wiki/%D0%98%D0%BD%D1%82%D0%B5%D1%80%D0%BD%D0%B5%D1%82" TargetMode="External"/><Relationship Id="rId1" Type="http://schemas.openxmlformats.org/officeDocument/2006/relationships/hyperlink" Target="https://ru.wikipedia.org/wiki/%D0%AD%D0%BB%D0%B5%D0%BA%D1%82%D1%80%D0%BE%D0%BD%D0%BD%D0%BE%D0%B5_%D0%BE%D0%B1%D1%83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3932-84AD-4C05-ADE8-84F82599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Гарифуллина Флюра</dc:creator>
  <cp:keywords/>
  <dc:description/>
  <cp:lastModifiedBy>Гарифуллина Флюра</cp:lastModifiedBy>
  <cp:revision>9</cp:revision>
  <cp:lastPrinted>2017-06-22T09:58:00Z</cp:lastPrinted>
  <dcterms:created xsi:type="dcterms:W3CDTF">2017-06-20T08:14:00Z</dcterms:created>
  <dcterms:modified xsi:type="dcterms:W3CDTF">2017-06-22T11:12:00Z</dcterms:modified>
</cp:coreProperties>
</file>